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0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件</w:t>
      </w:r>
      <w:r>
        <w:rPr>
          <w:rFonts w:hint="eastAsia" w:ascii="黑体" w:hAnsi="黑体" w:eastAsia="黑体" w:cs="黑体"/>
          <w:sz w:val="32"/>
          <w:szCs w:val="32"/>
        </w:rPr>
        <w:t>2</w:t>
      </w:r>
    </w:p>
    <w:p>
      <w:pPr>
        <w:pStyle w:val="2"/>
        <w:spacing w:before="312" w:beforeLines="100" w:after="312" w:afterLines="100" w:line="240" w:lineRule="auto"/>
        <w:ind w:firstLine="0" w:firstLineChars="0"/>
        <w:jc w:val="center"/>
      </w:pPr>
      <w:r>
        <w:rPr>
          <w:rFonts w:hint="eastAsia"/>
        </w:rPr>
        <w:t>中小学校体育工作评估指标体系</w:t>
      </w:r>
    </w:p>
    <w:tbl>
      <w:tblPr>
        <w:tblStyle w:val="6"/>
        <w:tblW w:w="85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951"/>
        <w:gridCol w:w="504"/>
        <w:gridCol w:w="3331"/>
        <w:gridCol w:w="529"/>
        <w:gridCol w:w="531"/>
        <w:gridCol w:w="534"/>
        <w:gridCol w:w="534"/>
        <w:gridCol w:w="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项目及权重</w:t>
            </w:r>
          </w:p>
        </w:tc>
        <w:tc>
          <w:tcPr>
            <w:tcW w:w="95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指标及权重</w:t>
            </w:r>
          </w:p>
        </w:tc>
        <w:tc>
          <w:tcPr>
            <w:tcW w:w="50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号</w:t>
            </w:r>
          </w:p>
        </w:tc>
        <w:tc>
          <w:tcPr>
            <w:tcW w:w="333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指标内容</w:t>
            </w:r>
          </w:p>
        </w:tc>
        <w:tc>
          <w:tcPr>
            <w:tcW w:w="52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分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值</w:t>
            </w:r>
          </w:p>
        </w:tc>
        <w:tc>
          <w:tcPr>
            <w:tcW w:w="2235" w:type="dxa"/>
            <w:gridSpan w:val="4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等级与系数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0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3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3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A</w:t>
            </w:r>
          </w:p>
        </w:tc>
        <w:tc>
          <w:tcPr>
            <w:tcW w:w="53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B</w:t>
            </w:r>
          </w:p>
        </w:tc>
        <w:tc>
          <w:tcPr>
            <w:tcW w:w="53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C</w:t>
            </w:r>
          </w:p>
        </w:tc>
        <w:tc>
          <w:tcPr>
            <w:tcW w:w="63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04" w:type="dxa"/>
            <w:vMerge w:val="continue"/>
            <w:tcBorders>
              <w:top w:val="nil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b/>
                <w:kern w:val="0"/>
                <w:szCs w:val="21"/>
              </w:rPr>
            </w:pPr>
          </w:p>
        </w:tc>
        <w:tc>
          <w:tcPr>
            <w:tcW w:w="3331" w:type="dxa"/>
            <w:vMerge w:val="continue"/>
            <w:tcBorders>
              <w:top w:val="nil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b/>
                <w:kern w:val="0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1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0.8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0.6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widowControl/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一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组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织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管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理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（20%）</w:t>
            </w:r>
          </w:p>
        </w:tc>
        <w:tc>
          <w:tcPr>
            <w:tcW w:w="951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（一）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管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理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到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位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（5%）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学校成立政教、教务、总务、共青团（少先队）等部门参与的体育工作领导小组，明确职责、落实分工，定期研究工作。（注：中等职业学校和普通中学建立相应体育管理部门，配备专职干部和管理人员）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将体育纳入学校整体工作计划，制订具体计划，认真组织实施，定期组织检查、考核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3331" w:type="dxa"/>
            <w:vAlign w:val="center"/>
          </w:tcPr>
          <w:p>
            <w:pPr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学校建立校园意外伤害事故的应急管理机制，制定和实施体育安全管理工作方案，明确责任人，落实责任制</w:t>
            </w:r>
          </w:p>
        </w:tc>
        <w:tc>
          <w:tcPr>
            <w:tcW w:w="52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restart"/>
            <w:vAlign w:val="center"/>
          </w:tcPr>
          <w:p>
            <w:pPr>
              <w:widowControl/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（二）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领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导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重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视</w:t>
            </w:r>
          </w:p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（10%）</w:t>
            </w:r>
          </w:p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3331" w:type="dxa"/>
            <w:vAlign w:val="center"/>
          </w:tcPr>
          <w:p>
            <w:pPr>
              <w:spacing w:line="320" w:lineRule="exact"/>
              <w:rPr>
                <w:rFonts w:ascii="仿宋_GB2312" w:hAnsi="宋体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校长将学校体育列入工作职责，明确一名副校长分管体育工作</w:t>
            </w:r>
          </w:p>
        </w:tc>
        <w:tc>
          <w:tcPr>
            <w:tcW w:w="52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每学期校长听体育课不少于4次，分管校长不少于6次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4/6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3/5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2/4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&lt;2/4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切实减轻学生过重课业负担，严格落实国家体育与健康课时规定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7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restart"/>
            <w:vAlign w:val="center"/>
          </w:tcPr>
          <w:p>
            <w:pPr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（三）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监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督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检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查</w:t>
            </w:r>
          </w:p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（5%）</w:t>
            </w:r>
          </w:p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7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ascii="仿宋_GB2312" w:hAnsi="宋体" w:cs="宋体"/>
                <w:kern w:val="0"/>
                <w:szCs w:val="21"/>
              </w:rPr>
              <w:t>公布学生阳光体育运动工作方案、基本要求</w:t>
            </w:r>
            <w:r>
              <w:rPr>
                <w:rFonts w:hint="eastAsia" w:ascii="仿宋_GB2312" w:hAnsi="宋体" w:cs="宋体"/>
                <w:kern w:val="0"/>
                <w:szCs w:val="21"/>
              </w:rPr>
              <w:t>和监督电话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  <w:bookmarkStart w:id="0" w:name="_GoBack"/>
            <w:bookmarkEnd w:id="0"/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利用公告栏、家长会和校园网，每学期通报一次学生体育活动情况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二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教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育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教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学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（30%）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（四）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课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程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教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学</w:t>
            </w:r>
          </w:p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（15%）</w:t>
            </w:r>
          </w:p>
        </w:tc>
        <w:tc>
          <w:tcPr>
            <w:tcW w:w="5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3331" w:type="dxa"/>
            <w:vAlign w:val="center"/>
          </w:tcPr>
          <w:p>
            <w:pPr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体育与健康课程教学计划、单元计划、课时计划齐全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很好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较好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一般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3331" w:type="dxa"/>
            <w:vAlign w:val="center"/>
          </w:tcPr>
          <w:p>
            <w:pPr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依据课程标准组织体育教学，完成教学任务</w:t>
            </w:r>
          </w:p>
        </w:tc>
        <w:tc>
          <w:tcPr>
            <w:tcW w:w="52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很好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较好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一般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11</w:t>
            </w:r>
          </w:p>
        </w:tc>
        <w:tc>
          <w:tcPr>
            <w:tcW w:w="3331" w:type="dxa"/>
            <w:vAlign w:val="center"/>
          </w:tcPr>
          <w:p>
            <w:pPr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加强教学研究与课程教学改革，提高教学效果</w:t>
            </w:r>
          </w:p>
        </w:tc>
        <w:tc>
          <w:tcPr>
            <w:tcW w:w="52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12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严格执行体育课考勤和考核登记制度，并将结果放入学生档案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（五）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校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园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育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活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动</w:t>
            </w:r>
          </w:p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（15%）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13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制订阳光体育运动工作方案、基本要求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14</w:t>
            </w:r>
          </w:p>
        </w:tc>
        <w:tc>
          <w:tcPr>
            <w:tcW w:w="3331" w:type="dxa"/>
            <w:vAlign w:val="center"/>
          </w:tcPr>
          <w:p>
            <w:pPr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将校园体育活动时间和内容纳入教学计划，列入课表，严格实施</w:t>
            </w:r>
          </w:p>
        </w:tc>
        <w:tc>
          <w:tcPr>
            <w:tcW w:w="52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很好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较好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一般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每天上午安排大课间体育活动；没有体育课的当天，下午安排一小时集体体育锻炼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16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学校每年召开春、秋季运动会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17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开展体育、艺术2+1项目，有85%以上的学生掌握至少2项日常锻炼的体育技能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85%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70%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50%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&lt;50%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18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对学生加强体育安全教育</w:t>
            </w:r>
          </w:p>
        </w:tc>
        <w:tc>
          <w:tcPr>
            <w:tcW w:w="52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51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三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条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件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保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障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（30%）</w:t>
            </w:r>
          </w:p>
          <w:p>
            <w:pPr>
              <w:widowControl/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（六）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教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师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队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伍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（15%）</w:t>
            </w:r>
          </w:p>
        </w:tc>
        <w:tc>
          <w:tcPr>
            <w:tcW w:w="50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19</w:t>
            </w:r>
          </w:p>
        </w:tc>
        <w:tc>
          <w:tcPr>
            <w:tcW w:w="333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体育教师数量达到国家规定要求</w:t>
            </w:r>
          </w:p>
        </w:tc>
        <w:tc>
          <w:tcPr>
            <w:tcW w:w="529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53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3331" w:type="dxa"/>
            <w:vAlign w:val="center"/>
          </w:tcPr>
          <w:p>
            <w:pPr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体育教师职务评聘公平、公正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ind w:firstLine="105" w:firstLineChars="50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21</w:t>
            </w:r>
          </w:p>
        </w:tc>
        <w:tc>
          <w:tcPr>
            <w:tcW w:w="3331" w:type="dxa"/>
            <w:vAlign w:val="center"/>
          </w:tcPr>
          <w:p>
            <w:pPr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体育教师工资待遇与其他任课教师同等对待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ind w:firstLine="105" w:firstLineChars="50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22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开展课外体育活动、组织学生体质健康测试纳入教学工作量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23</w:t>
            </w:r>
          </w:p>
        </w:tc>
        <w:tc>
          <w:tcPr>
            <w:tcW w:w="3331" w:type="dxa"/>
            <w:vAlign w:val="center"/>
          </w:tcPr>
          <w:p>
            <w:pPr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体育教师坚持集体备课、校本教研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ind w:firstLine="105" w:firstLineChars="50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24</w:t>
            </w:r>
          </w:p>
        </w:tc>
        <w:tc>
          <w:tcPr>
            <w:tcW w:w="3331" w:type="dxa"/>
            <w:vAlign w:val="center"/>
          </w:tcPr>
          <w:p>
            <w:pPr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体育教师参加培训、继续教育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ind w:firstLine="105" w:firstLineChars="50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（七）</w:t>
            </w:r>
          </w:p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场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地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器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材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与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经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费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（15%）</w:t>
            </w:r>
          </w:p>
        </w:tc>
        <w:tc>
          <w:tcPr>
            <w:tcW w:w="5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25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体育场地、器材、设施达标情况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90%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70%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60%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&lt;60%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26</w:t>
            </w:r>
          </w:p>
        </w:tc>
        <w:tc>
          <w:tcPr>
            <w:tcW w:w="3331" w:type="dxa"/>
            <w:vAlign w:val="center"/>
          </w:tcPr>
          <w:p>
            <w:pPr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体育场地平整、整洁，符合体育活动和体育教学要求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很好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较好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一般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27</w:t>
            </w:r>
          </w:p>
        </w:tc>
        <w:tc>
          <w:tcPr>
            <w:tcW w:w="3331" w:type="dxa"/>
            <w:vAlign w:val="center"/>
          </w:tcPr>
          <w:p>
            <w:pPr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体育场馆、设施管理规范，及时维护，确保安全运行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很好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较好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一般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28</w:t>
            </w:r>
          </w:p>
        </w:tc>
        <w:tc>
          <w:tcPr>
            <w:tcW w:w="3331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学校体育场地、器材、设施有专人负责管理</w:t>
            </w:r>
          </w:p>
        </w:tc>
        <w:tc>
          <w:tcPr>
            <w:tcW w:w="52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29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课余和节假日体育场馆向学生开放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333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公用经费按规定用于体育支出，满足学校体育工作需要</w:t>
            </w:r>
          </w:p>
        </w:tc>
        <w:tc>
          <w:tcPr>
            <w:tcW w:w="529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3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widowControl/>
              <w:spacing w:line="360" w:lineRule="exact"/>
              <w:ind w:left="-221" w:firstLine="239" w:firstLineChars="114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四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学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生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质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（20%）</w:t>
            </w:r>
          </w:p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restart"/>
            <w:vAlign w:val="center"/>
          </w:tcPr>
          <w:p>
            <w:pPr>
              <w:widowControl/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 xml:space="preserve"> （八）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开展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学生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体质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健康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测试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（5%）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31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实施《国家学生体质健康标准》，做好全体学生体质健康测试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32</w:t>
            </w:r>
          </w:p>
        </w:tc>
        <w:tc>
          <w:tcPr>
            <w:tcW w:w="3331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妥善保存学生《国家学生体质健康标准》原始数据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33</w:t>
            </w:r>
          </w:p>
        </w:tc>
        <w:tc>
          <w:tcPr>
            <w:tcW w:w="3331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按国家要求上报《国家学生体质健康标准》测试数据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restart"/>
            <w:vAlign w:val="top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（九）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测试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结果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（9%）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34</w:t>
            </w:r>
          </w:p>
        </w:tc>
        <w:tc>
          <w:tcPr>
            <w:tcW w:w="3331" w:type="dxa"/>
            <w:vAlign w:val="center"/>
          </w:tcPr>
          <w:p>
            <w:pPr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有95%以上的学生达到《国家学生体质健康标准》合格以上等级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95%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94%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92%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&lt;92%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top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35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有40%以上的学生达到《国家学生体质健康标准》良好以上等级，并逐年增长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40%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30%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25%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&lt;25%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restart"/>
            <w:vAlign w:val="top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（十）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测试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评价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（6%）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36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每年在校内公布学生体质健康测试总体结果，并通报学生及家长</w:t>
            </w:r>
          </w:p>
        </w:tc>
        <w:tc>
          <w:tcPr>
            <w:tcW w:w="52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37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学生体质健康水平作为学生综合素质档案的重要内容，并形成制度</w:t>
            </w:r>
          </w:p>
        </w:tc>
        <w:tc>
          <w:tcPr>
            <w:tcW w:w="52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3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38</w:t>
            </w:r>
          </w:p>
        </w:tc>
        <w:tc>
          <w:tcPr>
            <w:tcW w:w="3331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分析学生体质健康标准测试结果，动态把握学生体质健康发展趋势</w:t>
            </w:r>
          </w:p>
        </w:tc>
        <w:tc>
          <w:tcPr>
            <w:tcW w:w="52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3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是</w:t>
            </w:r>
          </w:p>
        </w:tc>
        <w:tc>
          <w:tcPr>
            <w:tcW w:w="534" w:type="dxa"/>
            <w:vAlign w:val="center"/>
          </w:tcPr>
          <w:p>
            <w:pPr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534" w:type="dxa"/>
            <w:vAlign w:val="center"/>
          </w:tcPr>
          <w:p>
            <w:pPr>
              <w:spacing w:line="360" w:lineRule="exac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/</w:t>
            </w:r>
          </w:p>
        </w:tc>
        <w:tc>
          <w:tcPr>
            <w:tcW w:w="63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否</w:t>
            </w:r>
          </w:p>
        </w:tc>
      </w:tr>
    </w:tbl>
    <w:p>
      <w:pPr>
        <w:spacing w:line="400" w:lineRule="exact"/>
        <w:rPr>
          <w:b/>
          <w:bCs/>
          <w:color w:val="000000"/>
          <w:sz w:val="24"/>
        </w:rPr>
      </w:pPr>
    </w:p>
    <w:p>
      <w:pPr>
        <w:snapToGrid w:val="0"/>
        <w:spacing w:line="480" w:lineRule="exact"/>
        <w:ind w:firstLine="480" w:firstLineChars="150"/>
        <w:rPr>
          <w:rFonts w:ascii="黑体" w:hAnsi="宋体" w:eastAsia="黑体"/>
          <w:sz w:val="32"/>
        </w:rPr>
      </w:pPr>
      <w:r>
        <w:rPr>
          <w:rFonts w:hint="eastAsia" w:ascii="黑体" w:hAnsi="宋体" w:eastAsia="黑体"/>
          <w:sz w:val="32"/>
        </w:rPr>
        <w:t>填表说明：</w:t>
      </w:r>
    </w:p>
    <w:p>
      <w:pPr>
        <w:snapToGrid w:val="0"/>
        <w:spacing w:line="480" w:lineRule="exact"/>
        <w:ind w:firstLine="480" w:firstLineChars="200"/>
        <w:rPr>
          <w:rFonts w:ascii="黑体" w:hAnsi="宋体" w:eastAsia="黑体"/>
          <w:sz w:val="24"/>
        </w:rPr>
      </w:pPr>
      <w:r>
        <w:rPr>
          <w:rFonts w:hint="eastAsia" w:ascii="楷体_GB2312" w:hAnsi="楷体" w:eastAsia="楷体_GB2312" w:cs="楷体"/>
          <w:sz w:val="24"/>
        </w:rPr>
        <w:t>1.</w:t>
      </w:r>
      <w:r>
        <w:rPr>
          <w:rFonts w:hint="eastAsia" w:ascii="楷体_GB2312" w:hAnsi="楷体" w:eastAsia="楷体_GB2312" w:cs="楷体"/>
          <w:kern w:val="0"/>
          <w:sz w:val="24"/>
        </w:rPr>
        <w:t>第6条：按小学1-2年级每周4课时，小学3-6年级和初中每周3课时，高中每周2课时安排体育与健康课时；</w:t>
      </w:r>
    </w:p>
    <w:p>
      <w:pPr>
        <w:snapToGrid w:val="0"/>
        <w:spacing w:line="480" w:lineRule="exact"/>
        <w:ind w:firstLine="480" w:firstLineChars="200"/>
        <w:rPr>
          <w:rFonts w:ascii="楷体_GB2312" w:hAnsi="楷体" w:eastAsia="楷体_GB2312" w:cs="楷体"/>
          <w:sz w:val="24"/>
        </w:rPr>
      </w:pPr>
      <w:r>
        <w:rPr>
          <w:rFonts w:hint="eastAsia" w:ascii="楷体_GB2312" w:hAnsi="楷体" w:eastAsia="楷体_GB2312" w:cs="楷体"/>
          <w:sz w:val="24"/>
        </w:rPr>
        <w:t>2.第19条：体育教师数量按照《国家学校体育卫生条件试行基本标准》测算；</w:t>
      </w:r>
    </w:p>
    <w:p>
      <w:pPr>
        <w:snapToGrid w:val="0"/>
        <w:spacing w:line="480" w:lineRule="exact"/>
        <w:ind w:firstLine="480" w:firstLineChars="200"/>
        <w:rPr>
          <w:rFonts w:ascii="黑体" w:hAnsi="宋体" w:eastAsia="黑体"/>
          <w:sz w:val="24"/>
        </w:rPr>
      </w:pPr>
      <w:r>
        <w:rPr>
          <w:rFonts w:hint="eastAsia" w:ascii="楷体_GB2312" w:hAnsi="楷体" w:eastAsia="楷体_GB2312" w:cs="楷体"/>
          <w:sz w:val="24"/>
        </w:rPr>
        <w:t>3.第22条：体育教师组织开展课外体育活动每周计2课时，组织学生体质健康测试（含统计、整理、上报），每班每学年计8课时。</w:t>
      </w:r>
    </w:p>
    <w:p>
      <w:pPr>
        <w:snapToGrid w:val="0"/>
        <w:spacing w:line="480" w:lineRule="exact"/>
        <w:ind w:firstLine="480" w:firstLineChars="200"/>
        <w:rPr>
          <w:rFonts w:ascii="黑体" w:hAnsi="宋体" w:eastAsia="黑体"/>
          <w:sz w:val="24"/>
        </w:rPr>
      </w:pPr>
      <w:r>
        <w:rPr>
          <w:rFonts w:hint="eastAsia" w:ascii="楷体_GB2312" w:hAnsi="楷体" w:eastAsia="楷体_GB2312" w:cs="楷体"/>
          <w:sz w:val="24"/>
        </w:rPr>
        <w:t>4.第25条：体育场地、器材、设施达标情况，按照《国家学校体育卫生条件试行基本标准》测算；</w:t>
      </w:r>
    </w:p>
    <w:p>
      <w:pPr>
        <w:snapToGrid w:val="0"/>
        <w:spacing w:line="480" w:lineRule="exact"/>
        <w:ind w:firstLine="480" w:firstLineChars="200"/>
        <w:rPr>
          <w:rFonts w:ascii="黑体" w:hAnsi="宋体" w:eastAsia="黑体"/>
          <w:sz w:val="24"/>
        </w:rPr>
      </w:pPr>
      <w:r>
        <w:rPr>
          <w:rFonts w:hint="eastAsia" w:ascii="楷体_GB2312" w:hAnsi="楷体" w:eastAsia="楷体_GB2312" w:cs="楷体"/>
          <w:sz w:val="24"/>
        </w:rPr>
        <w:t>5.第30条：上级教育部门拨付公用经费中，安排用于开展学校体育活动、比赛以及易耗体育器材购置费用数额和比例；</w:t>
      </w:r>
    </w:p>
    <w:p>
      <w:pPr>
        <w:snapToGrid w:val="0"/>
        <w:spacing w:line="480" w:lineRule="exact"/>
        <w:ind w:firstLine="480" w:firstLineChars="200"/>
        <w:rPr>
          <w:rFonts w:ascii="黑体" w:hAnsi="宋体" w:eastAsia="黑体"/>
          <w:sz w:val="24"/>
        </w:rPr>
      </w:pPr>
      <w:r>
        <w:rPr>
          <w:rFonts w:hint="eastAsia" w:ascii="楷体_GB2312" w:hAnsi="楷体" w:eastAsia="楷体_GB2312" w:cs="楷体"/>
          <w:sz w:val="24"/>
        </w:rPr>
        <w:t>6.第32条：保留各年级《国家学生体育健康标准登记卡》原件备查；</w:t>
      </w:r>
    </w:p>
    <w:p>
      <w:pPr>
        <w:snapToGrid w:val="0"/>
        <w:spacing w:line="480" w:lineRule="exact"/>
        <w:ind w:firstLine="480" w:firstLineChars="200"/>
        <w:rPr>
          <w:rFonts w:ascii="黑体" w:hAnsi="宋体" w:eastAsia="黑体"/>
          <w:sz w:val="24"/>
        </w:rPr>
      </w:pPr>
      <w:r>
        <w:rPr>
          <w:rFonts w:hint="eastAsia" w:ascii="楷体_GB2312" w:hAnsi="楷体" w:eastAsia="楷体_GB2312" w:cs="楷体"/>
          <w:sz w:val="24"/>
        </w:rPr>
        <w:t>7.第34条：以各学段毕业年级学生测试结果为例。</w:t>
      </w:r>
    </w:p>
    <w:p>
      <w:pPr>
        <w:snapToGrid w:val="0"/>
        <w:spacing w:line="480" w:lineRule="exact"/>
        <w:ind w:firstLine="482" w:firstLineChars="200"/>
        <w:rPr>
          <w:rFonts w:ascii="黑体" w:hAnsi="宋体" w:eastAsia="黑体"/>
          <w:sz w:val="24"/>
        </w:rPr>
      </w:pPr>
      <w:r>
        <w:rPr>
          <w:rFonts w:hint="eastAsia" w:ascii="楷体_GB2312" w:hAnsi="楷体" w:eastAsia="楷体_GB2312" w:cs="楷体"/>
          <w:b/>
          <w:sz w:val="24"/>
        </w:rPr>
        <w:t>加分条件：</w:t>
      </w:r>
    </w:p>
    <w:p>
      <w:pPr>
        <w:snapToGrid w:val="0"/>
        <w:spacing w:line="480" w:lineRule="exact"/>
        <w:ind w:firstLine="480" w:firstLineChars="200"/>
        <w:rPr>
          <w:rFonts w:ascii="黑体" w:hAnsi="宋体" w:eastAsia="黑体"/>
          <w:sz w:val="24"/>
        </w:rPr>
      </w:pPr>
      <w:r>
        <w:rPr>
          <w:rFonts w:hint="eastAsia" w:ascii="楷体_GB2312" w:hAnsi="楷体" w:eastAsia="楷体_GB2312" w:cs="楷体"/>
          <w:sz w:val="24"/>
        </w:rPr>
        <w:t>1.创新体育活动内容、方式和载体，增强体育活动的趣味性和吸引力；</w:t>
      </w:r>
    </w:p>
    <w:p>
      <w:pPr>
        <w:snapToGrid w:val="0"/>
        <w:spacing w:line="480" w:lineRule="exact"/>
        <w:ind w:firstLine="480" w:firstLineChars="200"/>
        <w:rPr>
          <w:rFonts w:ascii="黑体" w:hAnsi="宋体" w:eastAsia="黑体"/>
          <w:sz w:val="24"/>
        </w:rPr>
      </w:pPr>
      <w:r>
        <w:rPr>
          <w:rFonts w:hint="eastAsia" w:ascii="楷体_GB2312" w:hAnsi="楷体" w:eastAsia="楷体_GB2312" w:cs="楷体"/>
          <w:sz w:val="24"/>
        </w:rPr>
        <w:t>2.每年在一次校级运动会中，设计全体学生参加的项目；</w:t>
      </w:r>
    </w:p>
    <w:p>
      <w:pPr>
        <w:snapToGrid w:val="0"/>
        <w:spacing w:line="480" w:lineRule="exact"/>
        <w:ind w:firstLine="480" w:firstLineChars="200"/>
        <w:rPr>
          <w:rFonts w:ascii="黑体" w:hAnsi="宋体" w:eastAsia="黑体"/>
          <w:sz w:val="24"/>
        </w:rPr>
      </w:pPr>
      <w:r>
        <w:rPr>
          <w:rFonts w:hint="eastAsia" w:ascii="楷体_GB2312" w:hAnsi="楷体" w:eastAsia="楷体_GB2312" w:cs="楷体"/>
          <w:sz w:val="24"/>
        </w:rPr>
        <w:t>3.每年组织不少于10次的校级单项体育比赛；</w:t>
      </w:r>
    </w:p>
    <w:p>
      <w:pPr>
        <w:snapToGrid w:val="0"/>
        <w:spacing w:line="480" w:lineRule="exact"/>
        <w:ind w:firstLine="480" w:firstLineChars="200"/>
        <w:rPr>
          <w:rFonts w:ascii="黑体" w:hAnsi="宋体" w:eastAsia="黑体"/>
          <w:sz w:val="24"/>
        </w:rPr>
      </w:pPr>
      <w:r>
        <w:rPr>
          <w:rFonts w:hint="eastAsia" w:ascii="楷体_GB2312" w:hAnsi="楷体" w:eastAsia="楷体_GB2312" w:cs="楷体"/>
          <w:sz w:val="24"/>
        </w:rPr>
        <w:t>4.学校有体育代表队，每周训练不得少于两次，积极参加上级教育或体育部门组织的竞赛。</w:t>
      </w:r>
    </w:p>
    <w:p>
      <w:pPr>
        <w:snapToGrid w:val="0"/>
        <w:spacing w:line="480" w:lineRule="exact"/>
        <w:ind w:firstLine="480" w:firstLineChars="200"/>
        <w:rPr>
          <w:rFonts w:ascii="黑体" w:hAnsi="宋体" w:eastAsia="黑体"/>
          <w:sz w:val="24"/>
        </w:rPr>
      </w:pPr>
      <w:r>
        <w:rPr>
          <w:rFonts w:hint="eastAsia" w:ascii="楷体_GB2312" w:hAnsi="楷体" w:eastAsia="楷体_GB2312" w:cs="楷体"/>
          <w:sz w:val="24"/>
        </w:rPr>
        <w:t>凡具备以上条件之一的每项加2分，最多加8分。</w:t>
      </w:r>
    </w:p>
    <w:p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</w:p>
    <w:p>
      <w:pPr>
        <w:snapToGrid w:val="0"/>
        <w:spacing w:line="400" w:lineRule="exact"/>
        <w:rPr>
          <w:rFonts w:hint="eastAsia" w:ascii="宋体" w:hAnsi="宋体"/>
          <w:sz w:val="29"/>
          <w:szCs w:val="29"/>
        </w:rPr>
      </w:pPr>
    </w:p>
    <w:p>
      <w:pPr>
        <w:snapToGrid w:val="0"/>
        <w:spacing w:line="400" w:lineRule="exact"/>
        <w:rPr>
          <w:rFonts w:hint="eastAsia" w:ascii="宋体" w:hAnsi="宋体"/>
          <w:sz w:val="29"/>
          <w:szCs w:val="29"/>
        </w:rPr>
      </w:pPr>
    </w:p>
    <w:p>
      <w:pPr>
        <w:snapToGrid w:val="0"/>
        <w:spacing w:line="400" w:lineRule="exact"/>
        <w:rPr>
          <w:rFonts w:hint="eastAsia" w:ascii="宋体" w:hAnsi="宋体"/>
          <w:sz w:val="29"/>
          <w:szCs w:val="29"/>
        </w:rPr>
      </w:pPr>
    </w:p>
    <w:p>
      <w:pPr>
        <w:snapToGrid w:val="0"/>
        <w:spacing w:line="400" w:lineRule="exact"/>
        <w:rPr>
          <w:rFonts w:hint="eastAsia" w:ascii="宋体" w:hAnsi="宋体"/>
          <w:sz w:val="29"/>
          <w:szCs w:val="29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2785745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40"/>
                              <w:szCs w:val="5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  <w:szCs w:val="4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32"/>
                              <w:szCs w:val="4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32"/>
                              <w:szCs w:val="4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32"/>
                              <w:szCs w:val="4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32"/>
                              <w:szCs w:val="4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9.35pt;margin-top:0pt;height:144pt;width:144pt;mso-position-horizontal-relative:margin;mso-wrap-style:none;z-index:251658240;mso-width-relative:page;mso-height-relative:page;" filled="f" stroked="f" coordsize="21600,21600" o:gfxdata="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HitCzHVAAAACAEAAA8AAAAA&#10;AAAAAQAgAAAAIgAAAGRycy9kb3ducmV2LnhtbFBLAQIUABQAAAAIAIdO4kDks6ajwgIAANYFAAAO&#10;AAAAAAAAAAEAIAAAACQBAABkcnMvZTJvRG9jLnhtbFBLBQYAAAAABgAGAFkBAABY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40"/>
                        <w:szCs w:val="52"/>
                        <w:lang w:eastAsia="zh-CN"/>
                      </w:rPr>
                    </w:pPr>
                    <w:r>
                      <w:rPr>
                        <w:rFonts w:hint="eastAsia"/>
                        <w:sz w:val="32"/>
                        <w:szCs w:val="4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32"/>
                        <w:szCs w:val="4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32"/>
                        <w:szCs w:val="4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32"/>
                        <w:szCs w:val="44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32"/>
                        <w:szCs w:val="4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673B80"/>
    <w:rsid w:val="08A9330C"/>
    <w:rsid w:val="0F67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20" w:afterLines="20" w:line="415" w:lineRule="auto"/>
      <w:ind w:firstLine="200" w:firstLineChars="200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2019-08-29T11:23:00Z</dcterms:created>
  <dc:creator>Administrator</dc:creator>
  <cp:lastModifiedBy>Administrator</cp:lastModifiedBy>
  <cp:lastPrinted>2019-08-29T11:38:20Z</cp:lastPrinted>
  <dcterms:modified xsi:type="dcterms:W3CDTF">2019-08-29T11:38:29Z</dcterms:modified>
  <dc:title>附件2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